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</w:t>
      </w: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LISTA DE MATERIALES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SEXTO AÑO BÁSICO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05"/>
        <w:tblGridChange w:id="0">
          <w:tblGrid>
            <w:gridCol w:w="1000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UNIFORMES ESCOLARES: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Ripley</w:t>
            </w:r>
          </w:p>
          <w:p w:rsidR="00000000" w:rsidDel="00000000" w:rsidP="00000000" w:rsidRDefault="00000000" w:rsidRPr="00000000" w14:paraId="00000007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Irlanda Sandoval, Cel. +56 9 91082056</w:t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Tiendas Mery, cel. +56 9 41128815/55 2 245902</w:t>
            </w:r>
            <w:r w:rsidDel="00000000" w:rsidR="00000000" w:rsidRPr="00000000">
              <w:rPr>
                <w:i w:val="1"/>
                <w:iCs w:val="1"/>
                <w:color w:val="ffffff"/>
                <w:sz w:val="26"/>
                <w:szCs w:val="26"/>
                <w:rtl w:val="0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17365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Se solicitará para el año 2026 un dispositivo electrónico (no celular) para las asignaturas (Ipad, Tablet o Notebook).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 El Estuche diario debe contar con: Lápiz pasta azul, corrector, goma, lápiz grafito, calculadora científica, lápices de colores, regla, sacapuntas, tijera y pegamento.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bCs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Carpeta con aco para guardar evaluaciones por asignaturas 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TEXTOS DE ESTUDIO: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TEXTOS DE ESTUDIO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1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Matemática 6° básico, Proyecto SM Valiente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Plataforma EDUTEN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Realizar pago directamente al área de Administración y Finanzas del colegio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Ciencias Naturales 6° básico, Proyecto SAVIA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1B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Historia, Geografía y Ciencias Sociales 6° básico, Proyecto Savia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Lenguaje 6°Básico.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Clave Sendas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2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SM</w:t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/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5840" w:w="12240" w:orient="portrait"/>
          <w:pgMar w:bottom="1417" w:top="2552" w:left="993" w:right="900" w:header="708" w:footer="181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0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LECTURAS COMPLEMENTARIAS:</w:t>
      </w:r>
    </w:p>
    <w:p w:rsidR="00000000" w:rsidDel="00000000" w:rsidP="00000000" w:rsidRDefault="00000000" w:rsidRPr="00000000" w14:paraId="00000029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Cabe mencionar que las siguientes lecturas complementarias deben ser adquiridas en formato físico, debido a que no se trabajará en aula con formatos digitales.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left"/>
        <w:tblInd w:w="-2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0"/>
        <w:gridCol w:w="2460"/>
        <w:gridCol w:w="5565"/>
        <w:tblGridChange w:id="0">
          <w:tblGrid>
            <w:gridCol w:w="2460"/>
            <w:gridCol w:w="2460"/>
            <w:gridCol w:w="556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LIBRO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24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Inglés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24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Andrew Clements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Frindle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.83789062500006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240" w:line="276" w:lineRule="auto"/>
              <w:rPr/>
            </w:pPr>
            <w:r w:rsidDel="00000000" w:rsidR="00000000" w:rsidRPr="00000000">
              <w:rPr>
                <w:rtl w:val="0"/>
              </w:rPr>
              <w:t xml:space="preserve">Oxford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DICCIONARIO OXFORD POCKET ESPAÑOL-INGLES/INGLES-ESPAÑOL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(Utilizado en cuarto básico).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Luis Emilio Guzmán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El club de los que sobran. </w:t>
            </w: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 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  <w:t xml:space="preserve">: Loqueleo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José Maza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line="240" w:lineRule="auto"/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Somos polvos de estrellas para niños. </w:t>
            </w:r>
            <w:hyperlink r:id="rId14">
              <w:r w:rsidDel="00000000" w:rsidR="00000000" w:rsidRPr="00000000">
                <w:rPr>
                  <w:i w:val="1"/>
                  <w:iCs w:val="1"/>
                  <w:color w:val="1155cc"/>
                  <w:highlight w:val="yellow"/>
                  <w:u w:val="single"/>
                  <w:rtl w:val="0"/>
                </w:rPr>
                <w:t xml:space="preserve">Link de compra 1 </w:t>
              </w:r>
            </w:hyperlink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- </w:t>
            </w:r>
            <w:hyperlink r:id="rId15">
              <w:r w:rsidDel="00000000" w:rsidR="00000000" w:rsidRPr="00000000">
                <w:rPr>
                  <w:i w:val="1"/>
                  <w:iCs w:val="1"/>
                  <w:color w:val="1155cc"/>
                  <w:highlight w:val="yellow"/>
                  <w:u w:val="single"/>
                  <w:rtl w:val="0"/>
                </w:rPr>
                <w:t xml:space="preserve">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" w:cs="Arial" w:eastAsia="Arial" w:hAnsi="Arial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highlight w:val="yellow"/>
                <w:rtl w:val="0"/>
              </w:rPr>
              <w:t xml:space="preserve">Editorial:</w:t>
            </w:r>
            <w:r w:rsidDel="00000000" w:rsidR="00000000" w:rsidRPr="00000000">
              <w:rPr>
                <w:highlight w:val="yellow"/>
                <w:rtl w:val="0"/>
              </w:rPr>
              <w:t xml:space="preserve"> Planeta junior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Pablo Neruda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Breve antología de Pablo Neruda. </w:t>
            </w:r>
            <w:hyperlink r:id="rId16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Link de compra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Editorial:</w:t>
            </w:r>
            <w:r w:rsidDel="00000000" w:rsidR="00000000" w:rsidRPr="00000000">
              <w:rPr>
                <w:rtl w:val="0"/>
              </w:rPr>
              <w:t xml:space="preserve"> Pehuén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Compilado de poemas de Pablo Neruda: Poemas serán seleccionados por los docentes del departamento de Lengua y Literatura.</w:t>
            </w:r>
          </w:p>
        </w:tc>
      </w:tr>
    </w:tbl>
    <w:p w:rsidR="00000000" w:rsidDel="00000000" w:rsidP="00000000" w:rsidRDefault="00000000" w:rsidRPr="00000000" w14:paraId="00000043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76" w:lineRule="auto"/>
        <w:rPr>
          <w:b w:val="1"/>
          <w:bCs w:val="1"/>
          <w:sz w:val="24"/>
          <w:szCs w:val="24"/>
        </w:rPr>
        <w:sectPr>
          <w:type w:val="nextPage"/>
          <w:pgSz w:h="15840" w:w="12240" w:orient="portrait"/>
          <w:pgMar w:bottom="1417" w:top="2552" w:left="993" w:right="900" w:header="708" w:footer="181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line="240" w:lineRule="auto"/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Y MATERIALES:</w:t>
      </w:r>
    </w:p>
    <w:p w:rsidR="00000000" w:rsidDel="00000000" w:rsidP="00000000" w:rsidRDefault="00000000" w:rsidRPr="00000000" w14:paraId="0000005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173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85"/>
        <w:gridCol w:w="4253"/>
        <w:gridCol w:w="2835"/>
        <w:tblGridChange w:id="0">
          <w:tblGrid>
            <w:gridCol w:w="3085"/>
            <w:gridCol w:w="4253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17365d" w:val="clear"/>
          </w:tcPr>
          <w:p w:rsidR="00000000" w:rsidDel="00000000" w:rsidP="00000000" w:rsidRDefault="00000000" w:rsidRPr="00000000" w14:paraId="00000051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ASIGNATURA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2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ÚTILES Y MATERIALES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17365d" w:val="clear"/>
          </w:tcPr>
          <w:p w:rsidR="00000000" w:rsidDel="00000000" w:rsidP="00000000" w:rsidRDefault="00000000" w:rsidRPr="00000000" w14:paraId="00000053">
            <w:pPr>
              <w:spacing w:after="0"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OBSERVACIONES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LENGUAJE Y COMUNICACIÓN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 lápices grafitos, un lápiz pasta color negro y azul, corrector líquido. 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 destacadores de colores distintos, mínimo.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IDIOMA EXTRANJERO: INGLÉS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MATEMÁTICA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7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cuadro grande (debidamente marcado)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6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Transportador, set de reglas y compás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6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Calculadora Científica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0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medium 99 1/8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7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Block de cartulina de colores 26,5 x 37,5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C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aco clip (debidamente marcado)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HISTORIA, GEOGRAFÍA Y CIENCIAS SOCIALES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 cuadriculado  únicamente para la asignatura.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Durante el año se solicitarán con anticipación vía Schoolnet otros materiales para desarrollar los proyectos evaluativos según unidad.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CIENCIAS NATURALES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2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de 100 hojas, cuadro grande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83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5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Carpeta con aco clip (debidamente marcado con el curso y el nombre del estudiante y la asignatura)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88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Delantal Blanco, sólo para uso en laboratorio, carácter obligatorio.</w:t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ARTES VISUALES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 cuaderno de croquis universitario (hoja blanca, anillado)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Los materiales se solicitarán durante el año, ya que no contamos con un espacio adecuado para almacenarlos. Cada pedido será comunicado con anticipación para su uso en clase.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3 lápices de dibujo B2 – B4 – B6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6  pinceles 1-2-3 4 – 6 –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masking tape mediano marca TESA 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48 mm x 40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 Pack de plumones de 12 colores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hd w:fill="ffffff" w:val="clear"/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sobre de Cartulinas de colores</w:t>
            </w:r>
          </w:p>
          <w:p w:rsidR="00000000" w:rsidDel="00000000" w:rsidP="00000000" w:rsidRDefault="00000000" w:rsidRPr="00000000" w14:paraId="0000009B">
            <w:pPr>
              <w:shd w:fill="ffffff" w:val="clear"/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Block medio ⅛  Nº99</w:t>
            </w:r>
          </w:p>
          <w:p w:rsidR="00000000" w:rsidDel="00000000" w:rsidP="00000000" w:rsidRDefault="00000000" w:rsidRPr="00000000" w14:paraId="0000009C">
            <w:pPr>
              <w:shd w:fill="ffffff" w:val="clear"/>
              <w:spacing w:after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Caja de témperas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 pliego de papel kraft de alto gramaje (tamaño 110 cms x 80 cms)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 caja de témperas sólidas (témpera en barra)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1 témpera 250 gr color negro (se entrega a profesora al inicio de año)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both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2 plumones permanentes de color negro (puede ser acrílico o plumon normal)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dbe5f1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MÚSICA</w:t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AC">
            <w:pPr>
              <w:spacing w:after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 croquera de cuadros grandes</w:t>
            </w:r>
          </w:p>
        </w:tc>
        <w:tc>
          <w:tcPr>
            <w:vMerge w:val="restart"/>
            <w:shd w:fill="dbe5f1" w:val="clear"/>
          </w:tcPr>
          <w:p w:rsidR="00000000" w:rsidDel="00000000" w:rsidP="00000000" w:rsidRDefault="00000000" w:rsidRPr="00000000" w14:paraId="000000AD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Cada estudiante debe escoger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solo uno</w:t>
            </w:r>
            <w:r w:rsidDel="00000000" w:rsidR="00000000" w:rsidRPr="00000000">
              <w:rPr>
                <w:rtl w:val="0"/>
              </w:rPr>
              <w:t xml:space="preserve"> de los instrumentos sugeridos.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dbe5f1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INSTRUMENTOS SUGERIDOS: </w:t>
            </w:r>
          </w:p>
          <w:p w:rsidR="00000000" w:rsidDel="00000000" w:rsidP="00000000" w:rsidRDefault="00000000" w:rsidRPr="00000000" w14:paraId="000000B2">
            <w:pPr>
              <w:spacing w:after="0" w:line="276" w:lineRule="auto"/>
              <w:ind w:left="0" w:firstLine="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XILÓFONO (CROMÁTICO 25 PLACAS) ,</w:t>
            </w:r>
            <w:r w:rsidDel="00000000" w:rsidR="00000000" w:rsidRPr="00000000">
              <w:rPr>
                <w:rtl w:val="0"/>
              </w:rPr>
              <w:t xml:space="preserve">TECLADO., UKELELE, CHARANGO, MELÓDICA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be5f1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ED. FÍSICA Y SALUD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Buzo institucional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Short azul ABS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Polera Ed. Física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Botella  para agua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Zapatillas deportivas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Implementos de aseo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Colette  o elástico para tomarse el pelo en las clases de Ed. Física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RELIGIÓN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A">
            <w:pPr>
              <w:spacing w:after="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Cuaderno 40 hojas, cuadriculado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TECNOLOGÍA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 Croquera mediana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2552" w:left="993" w:right="900" w:header="708" w:footer="181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-668636</wp:posOffset>
          </wp:positionH>
          <wp:positionV relativeFrom="paragraph">
            <wp:posOffset>-689537</wp:posOffset>
          </wp:positionV>
          <wp:extent cx="7841497" cy="1996967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41497" cy="19969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5772150</wp:posOffset>
          </wp:positionH>
          <wp:positionV relativeFrom="paragraph">
            <wp:posOffset>-76816</wp:posOffset>
          </wp:positionV>
          <wp:extent cx="707390" cy="710565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05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-70464</wp:posOffset>
          </wp:positionH>
          <wp:positionV relativeFrom="paragraph">
            <wp:posOffset>-39985</wp:posOffset>
          </wp:positionV>
          <wp:extent cx="704850" cy="89535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850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3" Type="http://schemas.openxmlformats.org/officeDocument/2006/relationships/hyperlink" Target="https://www.antartica.cl/el-club-de-los-que-sobran-9789561527621.html" TargetMode="External"/><Relationship Id="rId12" Type="http://schemas.openxmlformats.org/officeDocument/2006/relationships/hyperlink" Target="https://www.amazon.com/-/es/Andrew-Clements-ebook/dp/B0030H7UM6/ref=sr_1_1?__mk_es_US=%C3%85M%C3%85%C5%BD%C3%95%C3%91&amp;crid=1DTXKP1HFCMWM&amp;dib=eyJ2IjoiMSJ9.N9-AFvxbkQPwEe09cuNH-CaHOhBdeziAUDs_pr1OydOpMojiMfyhlXbI86S8fqmI-TsXHjPffwy4EFhwozhadQEqCbAmV4mgfPHwzJuwFBmN0HkPaSwk3qOfohb4Fk5whoUnBM4Ex6nN8RXfPIbtwO8D15VneJEZkY1tOiEdE64no3W_mOJxLUYOyRm2d_EvZjCoArJ6sLOvOUyRbObat97LD0kkM5uZnVGQCVEQWGU.FWxLWCH9gz8aj6V7DG_ewjP2t55XmRkPNbeBzPLVN2k&amp;dib_tag=se&amp;keywords=frindle&amp;qid=1733794366&amp;sprefix=frindl%2Caps%2C228&amp;sr=8-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feriachilenadellibro.cl/producto/9789566232216-luna-para-ninos-y-ninas/" TargetMode="External"/><Relationship Id="rId14" Type="http://schemas.openxmlformats.org/officeDocument/2006/relationships/hyperlink" Target="https://www.antartica.cl/luna-para-ninos-y-ninas-9789566232216.html" TargetMode="External"/><Relationship Id="rId16" Type="http://schemas.openxmlformats.org/officeDocument/2006/relationships/hyperlink" Target="https://tienda.pehuen.cl/products/breve-antologia-de-pablo-neruda?_pos=3&amp;_sid=313b2723d&amp;_ss=r" TargetMode="Externa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