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LISTA DE MATERIALES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NIVEL: 1st Grade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UNIFORMES ESCOLARES:</w:t>
            </w:r>
          </w:p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Tiendas Ripley.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Irlanda Sandoval, Cel. +56 9 91082056.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Uniformes Mery, Cel +56 9 41128815 / 55 2 245902.</w:t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TEXTOS DE ESTUDIO: </w:t>
      </w:r>
    </w:p>
    <w:p w:rsidR="00000000" w:rsidDel="00000000" w:rsidP="00000000" w:rsidRDefault="00000000" w:rsidRPr="00000000" w14:paraId="0000000B">
      <w:pPr>
        <w:spacing w:after="0" w:line="240" w:lineRule="auto"/>
        <w:ind w:left="72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6"/>
        <w:gridCol w:w="5484"/>
        <w:gridCol w:w="2235"/>
        <w:tblGridChange w:id="0">
          <w:tblGrid>
            <w:gridCol w:w="2466"/>
            <w:gridCol w:w="5484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0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0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TEXTOS DE ESTUDIO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0">
            <w:pPr>
              <w:spacing w:after="0" w:line="276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Proyecto Valientes Matemática 1° básico </w:t>
            </w:r>
            <w:r w:rsidDel="00000000" w:rsidR="00000000" w:rsidRPr="00000000">
              <w:rPr>
                <w:rtl w:val="0"/>
              </w:rPr>
              <w:t xml:space="preserve">(texto incluye licencia digital)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ind w:left="360" w:firstLine="0"/>
              <w:jc w:val="both"/>
              <w:rPr>
                <w:b w:val="1"/>
                <w:bCs w:val="1"/>
              </w:rPr>
            </w:pPr>
            <w:hyperlink r:id="rId7">
              <w:r w:rsidDel="00000000" w:rsidR="00000000" w:rsidRPr="00000000">
                <w:rPr>
                  <w:b w:val="1"/>
                  <w:bCs w:val="1"/>
                  <w:color w:val="1155cc"/>
                  <w:u w:val="single"/>
                  <w:rtl w:val="0"/>
                </w:rPr>
                <w:t xml:space="preserve">www.tiendasm.cl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SM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Plataforma Eduten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 pago se realiza directo en el área de administración y finanzas.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7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Cuaderno interactivo Caligrafía Script 1° básico (1er y 2do semestre)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Caligrafix</w:t>
            </w:r>
          </w:p>
        </w:tc>
      </w:tr>
    </w:tbl>
    <w:p w:rsidR="00000000" w:rsidDel="00000000" w:rsidP="00000000" w:rsidRDefault="00000000" w:rsidRPr="00000000" w14:paraId="00000019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LECTURAS COMPLEMENTARIAS:</w:t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rPr>
          <w:b w:val="1"/>
          <w:bCs w:val="1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Estos libros serán solicitados por la docente, durante el I trimestre del año según vayan a ser trabajados. Las lecturas complementarias del II y III trimestre serán informadas en abril y agosto respectivamente.</w:t>
      </w:r>
    </w:p>
    <w:p w:rsidR="00000000" w:rsidDel="00000000" w:rsidP="00000000" w:rsidRDefault="00000000" w:rsidRPr="00000000" w14:paraId="0000001E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1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4253"/>
        <w:gridCol w:w="2835"/>
        <w:tblGridChange w:id="0">
          <w:tblGrid>
            <w:gridCol w:w="3085"/>
            <w:gridCol w:w="4253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2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Anthony Browne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COSAS QUE ME GUSTAN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Fondo de Cultura Económica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Graciela Morales / Isol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HABÍA UNA VEZ UNA LLAVE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Loqueleo</w:t>
            </w:r>
          </w:p>
        </w:tc>
      </w:tr>
    </w:tbl>
    <w:p w:rsidR="00000000" w:rsidDel="00000000" w:rsidP="00000000" w:rsidRDefault="00000000" w:rsidRPr="00000000" w14:paraId="00000029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3. ÚTILES Y MATERIALES:</w:t>
      </w:r>
    </w:p>
    <w:p w:rsidR="00000000" w:rsidDel="00000000" w:rsidP="00000000" w:rsidRDefault="00000000" w:rsidRPr="00000000" w14:paraId="0000002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4872"/>
        <w:gridCol w:w="2223"/>
        <w:tblGridChange w:id="0">
          <w:tblGrid>
            <w:gridCol w:w="3085"/>
            <w:gridCol w:w="4872"/>
            <w:gridCol w:w="2223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2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2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2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cfe2f3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Cuadernos caligrafía horizontal de 100 hojas COLLEGE 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Lenguaje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color rojo,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English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color amarillo).</w:t>
            </w:r>
          </w:p>
        </w:tc>
        <w:tc>
          <w:tcPr>
            <w:vMerge w:val="restart"/>
            <w:shd w:fill="cfe2f3" w:val="clear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33">
            <w:pPr>
              <w:spacing w:after="20" w:before="24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 Cuadernos cuadro grande 100 hojas</w:t>
            </w:r>
          </w:p>
          <w:p w:rsidR="00000000" w:rsidDel="00000000" w:rsidP="00000000" w:rsidRDefault="00000000" w:rsidRPr="00000000" w14:paraId="00000034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COLLEGE 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Matemática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color azul,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Science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color verde,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Música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color anaranjado,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Religión/Orientación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-color celeste).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37">
            <w:pPr>
              <w:spacing w:after="240" w:before="240" w:line="28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Archivador blanco tamaño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oficio (Sólo para alumnos nuevos)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5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3A">
            <w:pPr>
              <w:spacing w:after="240" w:before="240" w:line="28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caja de bolsas resellables medianas tipo zip-lock j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3D">
            <w:pPr>
              <w:spacing w:after="0" w:line="276" w:lineRule="auto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Carpeta tamaño oficio plastificada con aco y 20 fundas plásticas oficio (archivadas) color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azul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para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evaluaciones, reflexiones y otros.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40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sobres de 10 fundas plásticas tamaño oficio.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43">
            <w:pPr>
              <w:spacing w:after="2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Estuche que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permanentemente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contenga: </w:t>
            </w:r>
          </w:p>
          <w:p w:rsidR="00000000" w:rsidDel="00000000" w:rsidP="00000000" w:rsidRDefault="00000000" w:rsidRPr="00000000" w14:paraId="00000044">
            <w:pPr>
              <w:spacing w:after="2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lápices de grafito (2HB), lápiz bicolor azul-rojo, goma de borrar, sacapunta con contenedor, 12 lápices de colores , pegamento en barra y tijera punta roma y un plumón de pizarra.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4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Block de dibujo liceo N° 60.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4A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Block de dibujo N° 99.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4D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carpetas de cartulina de color (26.5 x 37.5).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50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carpeta de papel lustre  (26.5 x 37.5).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53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Caja de plumones de 12 colores.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5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 block de papel lustre 16x16.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59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carpeta de goma eva (opaca o glitter) 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5C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lápices grafito. (adicionales al del estuche)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5F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lápices bicolor azul-rojo (adicionales al del estuche)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62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gomas de borrar (adicionales a la del estuche)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65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 pegamentos en barra de 40 grs (adicionales al del estuche)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68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block de stickers 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6B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plumones permanente doble punta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6E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Plumones de pizarra. (adicionales al del estuche)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71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Caja de plasticina.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74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pqte. de palos de helado de color (baja lengua/ gruesos).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7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pqte. de palos de helado color natural (delgados).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7A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Cinta masking tape de color. (Se sugiere scotch)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7D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paquete post- it. 7,6 x 7,6 cm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80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paquete de 10 unidades de barritas de silicona 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83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borrador de pizarra.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8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destacador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89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Pizarra magnética doble caligráfica y cuadriculada  (20x30 cm aprox.)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Caja plástica de 6 lts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 asa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que contenga: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caja de témperas de 12 colores.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pechera o delantal impermeable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pincel N° 10 tradicional.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pincel N° 6 tradicional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mezclador de 6 cavidades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vaso plástico.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paño de limpieza multiuso.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pqte. de toalla húmeda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ind w:left="0" w:firstLine="0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Sólo se trae cuando se solicite.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Croquera tamaño oficio.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 hojas para termolaminar tamaño oficio.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shd w:fill="cfe2f3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MÚSICA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9E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Metalófono de una octava, de color. </w:t>
            </w:r>
          </w:p>
        </w:tc>
        <w:tc>
          <w:tcPr>
            <w:vMerge w:val="restart"/>
            <w:shd w:fill="cfe2f3" w:val="clear"/>
          </w:tcPr>
          <w:p w:rsidR="00000000" w:rsidDel="00000000" w:rsidP="00000000" w:rsidRDefault="00000000" w:rsidRPr="00000000" w14:paraId="0000009F">
            <w:pPr>
              <w:spacing w:after="0" w:line="276" w:lineRule="auto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ind w:lef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A1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kazoo 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A2">
            <w:pPr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A4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percusión menor (mini shaker o huevito)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A5">
            <w:pPr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Merge w:val="restart"/>
            <w:shd w:fill="cfe2f3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EDUCACIÓN FÍSICA Y SALUD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A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Buzo oficial del colegio.</w:t>
            </w:r>
          </w:p>
        </w:tc>
        <w:tc>
          <w:tcPr>
            <w:vMerge w:val="restart"/>
            <w:shd w:fill="cfe2f3" w:val="clear"/>
          </w:tcPr>
          <w:p w:rsidR="00000000" w:rsidDel="00000000" w:rsidP="00000000" w:rsidRDefault="00000000" w:rsidRPr="00000000" w14:paraId="000000A8">
            <w:pPr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Todos los materiales que este ítem contenga, deben venir debidamente marcados con el nombre y curso correspondiente.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AA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Short o Calzas oficiales del colegio.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AD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Poleras oficiales (sports).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B0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Zapatillas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deportivas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para educación física.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B3">
            <w:pPr>
              <w:spacing w:after="0" w:line="276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Bolso de aseo que contenga: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Toalla de mano, peineta o cepillo, polera de recambio.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Esto es obligatorio y se debe traer en cada clase de educación física.</w:t>
            </w:r>
          </w:p>
        </w:tc>
        <w:tc>
          <w:tcPr>
            <w:vMerge w:val="continue"/>
            <w:shd w:fill="cfe2f3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LENGUAJE Y COMUNICACIÓN/ IDIOMA EXTRANJERO INGLÉS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B6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Libro, cómic, cuento u otro material de lectura, uno en español y uno en inglés.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B7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Acorde a la edad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del nivel, destinado para biblioteca de aula.</w:t>
            </w:r>
          </w:p>
        </w:tc>
      </w:tr>
    </w:tbl>
    <w:p w:rsidR="00000000" w:rsidDel="00000000" w:rsidP="00000000" w:rsidRDefault="00000000" w:rsidRPr="00000000" w14:paraId="000000B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240" w:before="24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¿Cómo comprar en Tienda SM online? </w:t>
      </w:r>
    </w:p>
    <w:p w:rsidR="00000000" w:rsidDel="00000000" w:rsidP="00000000" w:rsidRDefault="00000000" w:rsidRPr="00000000" w14:paraId="000000BA">
      <w:pPr>
        <w:spacing w:after="0" w:line="276" w:lineRule="auto"/>
        <w:ind w:left="360" w:firstLine="0"/>
        <w:jc w:val="both"/>
        <w:rPr>
          <w:color w:val="1155cc"/>
          <w:sz w:val="24"/>
          <w:szCs w:val="24"/>
          <w:highlight w:val="green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</w:t>
      </w:r>
      <w:r w:rsidDel="00000000" w:rsidR="00000000" w:rsidRPr="00000000">
        <w:rPr>
          <w:sz w:val="24"/>
          <w:szCs w:val="24"/>
          <w:rtl w:val="0"/>
        </w:rPr>
        <w:t xml:space="preserve">  Ingresa a</w:t>
      </w:r>
      <w:hyperlink r:id="rId8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www.tiendasm.cl</w:t>
        </w:r>
      </w:hyperlink>
      <w:r w:rsidDel="00000000" w:rsidR="00000000" w:rsidRPr="00000000">
        <w:rPr>
          <w:sz w:val="24"/>
          <w:szCs w:val="24"/>
          <w:rtl w:val="0"/>
        </w:rPr>
        <w:t xml:space="preserve">  (Disponible desde el 22 diciembre).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76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</w:t>
      </w:r>
      <w:r w:rsidDel="00000000" w:rsidR="00000000" w:rsidRPr="00000000">
        <w:rPr>
          <w:sz w:val="24"/>
          <w:szCs w:val="24"/>
          <w:rtl w:val="0"/>
        </w:rPr>
        <w:t xml:space="preserve">   Inicia sesión o regístrate para crear una cuenta (en el costado superior derecho de la página).</w:t>
      </w:r>
    </w:p>
    <w:p w:rsidR="00000000" w:rsidDel="00000000" w:rsidP="00000000" w:rsidRDefault="00000000" w:rsidRPr="00000000" w14:paraId="000000BC">
      <w:pPr>
        <w:numPr>
          <w:ilvl w:val="0"/>
          <w:numId w:val="2"/>
        </w:numPr>
        <w:spacing w:after="0" w:line="276" w:lineRule="auto"/>
        <w:ind w:left="1275.5905511811022" w:hanging="360"/>
        <w:jc w:val="both"/>
      </w:pPr>
      <w:r w:rsidDel="00000000" w:rsidR="00000000" w:rsidRPr="00000000">
        <w:rPr>
          <w:sz w:val="24"/>
          <w:szCs w:val="24"/>
          <w:rtl w:val="0"/>
        </w:rPr>
        <w:t xml:space="preserve">Llegará un mensaje de comprobación a tu email.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2"/>
        </w:numPr>
        <w:spacing w:after="0" w:line="276" w:lineRule="auto"/>
        <w:ind w:left="1275.5905511811022" w:hanging="360"/>
        <w:jc w:val="both"/>
      </w:pPr>
      <w:r w:rsidDel="00000000" w:rsidR="00000000" w:rsidRPr="00000000">
        <w:rPr>
          <w:sz w:val="24"/>
          <w:szCs w:val="24"/>
          <w:rtl w:val="0"/>
        </w:rPr>
        <w:t xml:space="preserve">Agrega a tus hijos para obtener el descuento de tu colegio.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76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</w:t>
      </w:r>
      <w:r w:rsidDel="00000000" w:rsidR="00000000" w:rsidRPr="00000000">
        <w:rPr>
          <w:sz w:val="24"/>
          <w:szCs w:val="24"/>
          <w:rtl w:val="0"/>
        </w:rPr>
        <w:t xml:space="preserve">  Selecciona el libro que quieres comprar, agrégalo al carro y finaliza tu compra.</w:t>
      </w:r>
    </w:p>
    <w:p w:rsidR="00000000" w:rsidDel="00000000" w:rsidP="00000000" w:rsidRDefault="00000000" w:rsidRPr="00000000" w14:paraId="000000BF">
      <w:pPr>
        <w:spacing w:after="0" w:line="276" w:lineRule="auto"/>
        <w:ind w:left="360" w:firstLine="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</w:t>
      </w:r>
      <w:r w:rsidDel="00000000" w:rsidR="00000000" w:rsidRPr="00000000">
        <w:rPr>
          <w:sz w:val="24"/>
          <w:szCs w:val="24"/>
          <w:rtl w:val="0"/>
        </w:rPr>
        <w:t xml:space="preserve">   Elige la dirección en que quieres recibir tu compra.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76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</w:t>
      </w:r>
      <w:r w:rsidDel="00000000" w:rsidR="00000000" w:rsidRPr="00000000">
        <w:rPr>
          <w:sz w:val="24"/>
          <w:szCs w:val="24"/>
          <w:rtl w:val="0"/>
        </w:rPr>
        <w:t xml:space="preserve">  Elige el medio de pago que más te acomode (Onepay, tarjeta de débito o crédito).</w:t>
      </w:r>
    </w:p>
    <w:p w:rsidR="00000000" w:rsidDel="00000000" w:rsidP="00000000" w:rsidRDefault="00000000" w:rsidRPr="00000000" w14:paraId="000000C1">
      <w:pPr>
        <w:spacing w:after="0" w:line="276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</w:t>
      </w:r>
      <w:r w:rsidDel="00000000" w:rsidR="00000000" w:rsidRPr="00000000">
        <w:rPr>
          <w:sz w:val="24"/>
          <w:szCs w:val="24"/>
          <w:rtl w:val="0"/>
        </w:rPr>
        <w:t xml:space="preserve"> Una vez finalizada la compra, llegarán dos correos a tu email: uno con el comprobante con el detalle de tu compra y otro con la boleta.</w:t>
      </w:r>
    </w:p>
    <w:p w:rsidR="00000000" w:rsidDel="00000000" w:rsidP="00000000" w:rsidRDefault="00000000" w:rsidRPr="00000000" w14:paraId="000000C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3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Ante cualquier duda o consulta, comunícate con nosotros a través del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centro de ayuda</w:t>
      </w:r>
      <w:r w:rsidDel="00000000" w:rsidR="00000000" w:rsidRPr="00000000">
        <w:rPr>
          <w:sz w:val="24"/>
          <w:szCs w:val="24"/>
          <w:rtl w:val="0"/>
        </w:rPr>
        <w:t xml:space="preserve"> e ingresa tu caso en 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formulario de contacto.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ind w:left="7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usted desea comprar los libros de manera presencial, lo puede hacer en librerías, como sugerencia, en librería “Las Alondras” (Copiapó #789, los libros se encargan y cuando estos llegan se da aviso para ser retirados y cancelados), teniendo en consideración que en este caso no podrá acceder al precio preferencial apoderados ABS, ya que este solo se obtiene comprando en la tienda online).</w:t>
      </w:r>
    </w:p>
    <w:p w:rsidR="00000000" w:rsidDel="00000000" w:rsidP="00000000" w:rsidRDefault="00000000" w:rsidRPr="00000000" w14:paraId="000000C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1417" w:top="2552" w:left="993" w:right="900" w:header="708" w:footer="18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-668643</wp:posOffset>
          </wp:positionH>
          <wp:positionV relativeFrom="paragraph">
            <wp:posOffset>-689543</wp:posOffset>
          </wp:positionV>
          <wp:extent cx="7841497" cy="1996967"/>
          <wp:effectExtent b="0" l="0" r="0" t="0"/>
          <wp:wrapNone/>
          <wp:docPr id="1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1497" cy="19969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5772150</wp:posOffset>
          </wp:positionH>
          <wp:positionV relativeFrom="paragraph">
            <wp:posOffset>-76822</wp:posOffset>
          </wp:positionV>
          <wp:extent cx="707390" cy="710565"/>
          <wp:effectExtent b="0" l="0" r="0" t="0"/>
          <wp:wrapSquare wrapText="bothSides" distB="0" distT="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7390" cy="7105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-70473</wp:posOffset>
          </wp:positionH>
          <wp:positionV relativeFrom="paragraph">
            <wp:posOffset>-39992</wp:posOffset>
          </wp:positionV>
          <wp:extent cx="704850" cy="895350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iendasm.cl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tiendasm.cl" TargetMode="External"/><Relationship Id="rId8" Type="http://schemas.openxmlformats.org/officeDocument/2006/relationships/hyperlink" Target="http://www.tiendasm.cl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HAT1jdAGxg+rNBzUs85ZMyR8gQ==">CgMxLjA4AHIhMWkzclNkOEpZS210MkhnWEpjNHNwNllnWmtlcGh5bXRW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2024-11-14T14:03:00Z</dcterms:created>
</cp:coreProperties>
</file>